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E5D0" w14:textId="40869D04" w:rsidR="00746727" w:rsidRPr="00341087" w:rsidRDefault="00746727" w:rsidP="00341087">
      <w:pPr>
        <w:tabs>
          <w:tab w:val="center" w:pos="4536"/>
          <w:tab w:val="right" w:pos="9356"/>
          <w:tab w:val="right" w:pos="9639"/>
        </w:tabs>
        <w:spacing w:after="0"/>
        <w:rPr>
          <w:rFonts w:ascii="Arial" w:hAnsi="Arial" w:cs="Arial"/>
          <w:b/>
          <w:bCs/>
          <w:sz w:val="24"/>
          <w:szCs w:val="24"/>
        </w:rPr>
      </w:pPr>
      <w:r w:rsidRPr="00790053">
        <w:rPr>
          <w:rFonts w:ascii="Arial" w:hAnsi="Arial" w:cs="Arial"/>
          <w:b/>
          <w:bCs/>
          <w:sz w:val="24"/>
          <w:szCs w:val="24"/>
        </w:rPr>
        <w:t>3GPP TSG RAN WG1 Meeting 90bis</w:t>
      </w:r>
      <w:r w:rsidRPr="00196DD2">
        <w:rPr>
          <w:rFonts w:ascii="Arial" w:eastAsia="MS Mincho" w:hAnsi="Arial" w:cs="Arial"/>
          <w:b/>
          <w:bCs/>
          <w:sz w:val="24"/>
          <w:lang w:eastAsia="ja-JP"/>
        </w:rPr>
        <w:tab/>
      </w:r>
      <w:r w:rsidRPr="00790053">
        <w:rPr>
          <w:rFonts w:ascii="Arial" w:hAnsi="Arial" w:cs="Arial"/>
          <w:b/>
          <w:bCs/>
          <w:sz w:val="24"/>
          <w:szCs w:val="24"/>
        </w:rPr>
        <w:t xml:space="preserve">           </w:t>
      </w:r>
      <w:r w:rsidR="00317B9A">
        <w:rPr>
          <w:rFonts w:ascii="Arial" w:hAnsi="Arial" w:cs="Arial"/>
          <w:b/>
          <w:bCs/>
          <w:sz w:val="24"/>
          <w:szCs w:val="24"/>
        </w:rPr>
        <w:tab/>
      </w:r>
      <w:r w:rsidRPr="00790053">
        <w:rPr>
          <w:rFonts w:ascii="Arial" w:hAnsi="Arial" w:cs="Arial"/>
          <w:b/>
          <w:bCs/>
          <w:sz w:val="24"/>
          <w:szCs w:val="24"/>
        </w:rPr>
        <w:t>R1-</w:t>
      </w:r>
      <w:r w:rsidR="00317B9A" w:rsidRPr="00790053">
        <w:rPr>
          <w:rFonts w:ascii="Arial" w:hAnsi="Arial" w:cs="Arial"/>
          <w:b/>
          <w:bCs/>
          <w:sz w:val="24"/>
          <w:szCs w:val="24"/>
        </w:rPr>
        <w:t>1</w:t>
      </w:r>
      <w:r w:rsidR="00317B9A" w:rsidRPr="00790053">
        <w:rPr>
          <w:rFonts w:ascii="Arial" w:eastAsia="MS Mincho" w:hAnsi="Arial" w:cs="Arial"/>
          <w:b/>
          <w:bCs/>
          <w:sz w:val="24"/>
          <w:szCs w:val="24"/>
          <w:lang w:eastAsia="ja-JP"/>
        </w:rPr>
        <w:t>7</w:t>
      </w:r>
      <w:r w:rsidR="00317B9A">
        <w:rPr>
          <w:rFonts w:ascii="Arial" w:eastAsia="MS Mincho" w:hAnsi="Arial" w:cs="Arial"/>
          <w:b/>
          <w:bCs/>
          <w:sz w:val="24"/>
          <w:szCs w:val="24"/>
          <w:lang w:eastAsia="ja-JP"/>
        </w:rPr>
        <w:t>8606</w:t>
      </w:r>
    </w:p>
    <w:p w14:paraId="7F38526C" w14:textId="77777777" w:rsidR="00746727" w:rsidRPr="00341087" w:rsidRDefault="00746727">
      <w:pPr>
        <w:tabs>
          <w:tab w:val="center" w:pos="4536"/>
          <w:tab w:val="right" w:pos="9072"/>
        </w:tabs>
        <w:rPr>
          <w:rFonts w:ascii="Arial" w:eastAsia="MS Mincho" w:hAnsi="Arial" w:cs="Arial"/>
          <w:b/>
          <w:bCs/>
          <w:sz w:val="24"/>
          <w:szCs w:val="24"/>
          <w:lang w:eastAsia="ja-JP"/>
        </w:rPr>
      </w:pPr>
      <w:r w:rsidRPr="00790053">
        <w:rPr>
          <w:rFonts w:ascii="Arial" w:eastAsia="MS Mincho" w:hAnsi="Arial" w:cs="Arial"/>
          <w:b/>
          <w:bCs/>
          <w:sz w:val="24"/>
          <w:szCs w:val="24"/>
          <w:lang w:eastAsia="ja-JP"/>
        </w:rPr>
        <w:t>Prague, CZ, 9</w:t>
      </w:r>
      <w:r w:rsidRPr="00790053">
        <w:rPr>
          <w:rFonts w:ascii="Arial" w:eastAsia="MS Mincho" w:hAnsi="Arial" w:cs="Arial"/>
          <w:b/>
          <w:bCs/>
          <w:sz w:val="24"/>
          <w:szCs w:val="24"/>
          <w:vertAlign w:val="superscript"/>
          <w:lang w:eastAsia="ja-JP"/>
        </w:rPr>
        <w:t>th</w:t>
      </w:r>
      <w:r w:rsidRPr="00790053">
        <w:rPr>
          <w:rFonts w:ascii="Arial" w:eastAsia="MS Mincho" w:hAnsi="Arial" w:cs="Arial"/>
          <w:b/>
          <w:bCs/>
          <w:sz w:val="24"/>
          <w:szCs w:val="24"/>
          <w:lang w:eastAsia="ja-JP"/>
        </w:rPr>
        <w:t xml:space="preserve"> – 13</w:t>
      </w:r>
      <w:r w:rsidRPr="00EE273E">
        <w:rPr>
          <w:rFonts w:ascii="Arial" w:eastAsia="MS Mincho" w:hAnsi="Arial" w:cs="Arial"/>
          <w:b/>
          <w:bCs/>
          <w:sz w:val="24"/>
          <w:szCs w:val="24"/>
          <w:vertAlign w:val="superscript"/>
          <w:lang w:eastAsia="ja-JP"/>
        </w:rPr>
        <w:t>th</w:t>
      </w:r>
      <w:r w:rsidRPr="00EE273E">
        <w:rPr>
          <w:rFonts w:ascii="Arial" w:eastAsia="MS Mincho" w:hAnsi="Arial" w:cs="Arial"/>
          <w:b/>
          <w:bCs/>
          <w:sz w:val="24"/>
          <w:szCs w:val="24"/>
          <w:lang w:eastAsia="ja-JP"/>
        </w:rPr>
        <w:t xml:space="preserve">, </w:t>
      </w:r>
      <w:r w:rsidRPr="00EE273E">
        <w:rPr>
          <w:rFonts w:ascii="Arial" w:hAnsi="Arial" w:cs="Arial"/>
          <w:b/>
          <w:bCs/>
          <w:sz w:val="24"/>
          <w:szCs w:val="24"/>
        </w:rPr>
        <w:t>October 201</w:t>
      </w:r>
      <w:r w:rsidRPr="00EE273E">
        <w:rPr>
          <w:rFonts w:ascii="Arial" w:eastAsia="MS Mincho" w:hAnsi="Arial" w:cs="Arial"/>
          <w:b/>
          <w:bCs/>
          <w:sz w:val="24"/>
          <w:szCs w:val="24"/>
          <w:lang w:eastAsia="ja-JP"/>
        </w:rPr>
        <w:t>7</w:t>
      </w:r>
    </w:p>
    <w:p w14:paraId="56A8114B" w14:textId="77777777" w:rsidR="00CA26CE" w:rsidRPr="0016316A" w:rsidRDefault="00CA26CE" w:rsidP="00CA26CE">
      <w:pPr>
        <w:pStyle w:val="Header"/>
        <w:rPr>
          <w:bCs/>
          <w:noProof w:val="0"/>
          <w:sz w:val="24"/>
          <w:lang w:val="en-GB" w:eastAsia="ja-JP"/>
        </w:rPr>
      </w:pPr>
    </w:p>
    <w:p w14:paraId="44064BA6" w14:textId="7CFB692D" w:rsidR="0034111C" w:rsidRPr="001E5981" w:rsidRDefault="0034111C" w:rsidP="55F036CA">
      <w:pPr>
        <w:pStyle w:val="CRCoverPage"/>
        <w:spacing w:line="259" w:lineRule="auto"/>
        <w:rPr>
          <w:rFonts w:cs="Arial"/>
          <w:b/>
          <w:bCs/>
          <w:sz w:val="24"/>
          <w:szCs w:val="24"/>
          <w:lang w:val="en-US" w:eastAsia="ja-JP"/>
        </w:rPr>
      </w:pPr>
      <w:r w:rsidRPr="55F036CA">
        <w:rPr>
          <w:rFonts w:cs="Arial"/>
          <w:b/>
          <w:bCs/>
          <w:sz w:val="24"/>
          <w:szCs w:val="24"/>
        </w:rPr>
        <w:t>Agenda item:</w:t>
      </w:r>
      <w:r w:rsidRPr="0016316A">
        <w:rPr>
          <w:rFonts w:cs="Arial"/>
          <w:b/>
          <w:bCs/>
          <w:sz w:val="24"/>
        </w:rPr>
        <w:tab/>
      </w:r>
      <w:r w:rsidRPr="0016316A">
        <w:rPr>
          <w:rFonts w:cs="Arial"/>
          <w:b/>
          <w:bCs/>
          <w:sz w:val="24"/>
        </w:rPr>
        <w:tab/>
      </w:r>
      <w:r w:rsidR="00746727">
        <w:rPr>
          <w:rFonts w:cs="Arial"/>
          <w:b/>
          <w:bCs/>
          <w:sz w:val="24"/>
          <w:szCs w:val="24"/>
        </w:rPr>
        <w:t>7</w:t>
      </w:r>
      <w:r w:rsidR="00DA6C81" w:rsidRPr="55F036CA">
        <w:rPr>
          <w:rFonts w:cs="Arial"/>
          <w:b/>
          <w:bCs/>
          <w:sz w:val="24"/>
          <w:szCs w:val="24"/>
        </w:rPr>
        <w:t>.</w:t>
      </w:r>
      <w:r w:rsidR="00083B13" w:rsidRPr="55F036CA">
        <w:rPr>
          <w:rFonts w:cs="Arial"/>
          <w:b/>
          <w:bCs/>
          <w:sz w:val="24"/>
          <w:szCs w:val="24"/>
        </w:rPr>
        <w:t>3</w:t>
      </w:r>
      <w:r w:rsidR="00DA6C81" w:rsidRPr="55F036CA">
        <w:rPr>
          <w:rFonts w:cs="Arial"/>
          <w:b/>
          <w:bCs/>
          <w:sz w:val="24"/>
          <w:szCs w:val="24"/>
        </w:rPr>
        <w:t>.</w:t>
      </w:r>
      <w:r w:rsidR="00083B13" w:rsidRPr="55F036CA">
        <w:rPr>
          <w:rFonts w:cs="Arial"/>
          <w:b/>
          <w:bCs/>
          <w:sz w:val="24"/>
          <w:szCs w:val="24"/>
        </w:rPr>
        <w:t>1</w:t>
      </w:r>
      <w:r w:rsidR="00DA6C81" w:rsidRPr="55F036CA">
        <w:rPr>
          <w:rFonts w:cs="Arial"/>
          <w:b/>
          <w:bCs/>
          <w:sz w:val="24"/>
          <w:szCs w:val="24"/>
        </w:rPr>
        <w:t>.</w:t>
      </w:r>
      <w:r w:rsidR="059F5B51" w:rsidRPr="55F036CA">
        <w:rPr>
          <w:rFonts w:cs="Arial"/>
          <w:b/>
          <w:bCs/>
          <w:sz w:val="24"/>
          <w:szCs w:val="24"/>
        </w:rPr>
        <w:t>5</w:t>
      </w:r>
    </w:p>
    <w:p w14:paraId="54BF8606" w14:textId="6579D755" w:rsidR="00E128F2" w:rsidRPr="001E5981" w:rsidRDefault="0034111C" w:rsidP="55F036CA">
      <w:pPr>
        <w:tabs>
          <w:tab w:val="left" w:pos="1985"/>
        </w:tabs>
        <w:spacing w:after="120"/>
        <w:ind w:left="1985" w:hanging="1985"/>
        <w:rPr>
          <w:rFonts w:ascii="Arial" w:hAnsi="Arial" w:cs="Arial"/>
          <w:b/>
          <w:bCs/>
          <w:sz w:val="24"/>
          <w:szCs w:val="24"/>
          <w:lang w:val="en-US"/>
        </w:rPr>
      </w:pPr>
      <w:r w:rsidRPr="55F036CA">
        <w:rPr>
          <w:rFonts w:ascii="Arial" w:hAnsi="Arial" w:cs="Arial"/>
          <w:b/>
          <w:bCs/>
          <w:sz w:val="24"/>
          <w:szCs w:val="24"/>
        </w:rPr>
        <w:t>Source:</w:t>
      </w:r>
      <w:r w:rsidRPr="0016316A">
        <w:rPr>
          <w:rFonts w:ascii="Arial" w:hAnsi="Arial" w:cs="Arial"/>
          <w:b/>
          <w:bCs/>
          <w:sz w:val="24"/>
        </w:rPr>
        <w:tab/>
      </w:r>
      <w:r w:rsidR="00013455" w:rsidRPr="55F036CA">
        <w:rPr>
          <w:rFonts w:ascii="Arial" w:hAnsi="Arial" w:cs="Arial"/>
          <w:b/>
          <w:bCs/>
          <w:sz w:val="24"/>
          <w:szCs w:val="24"/>
        </w:rPr>
        <w:t xml:space="preserve">Nokia, </w:t>
      </w:r>
      <w:r w:rsidR="004A3C54" w:rsidRPr="55F036CA">
        <w:rPr>
          <w:rFonts w:ascii="Arial" w:hAnsi="Arial" w:cs="Arial"/>
          <w:b/>
          <w:bCs/>
          <w:sz w:val="24"/>
          <w:szCs w:val="24"/>
        </w:rPr>
        <w:t xml:space="preserve">Nokia </w:t>
      </w:r>
      <w:r w:rsidR="00013455" w:rsidRPr="55F036CA">
        <w:rPr>
          <w:rFonts w:ascii="Arial" w:hAnsi="Arial" w:cs="Arial"/>
          <w:b/>
          <w:bCs/>
          <w:sz w:val="24"/>
          <w:szCs w:val="24"/>
        </w:rPr>
        <w:t>Shanghai Bell</w:t>
      </w:r>
    </w:p>
    <w:p w14:paraId="52857A4E" w14:textId="61422AF9" w:rsidR="0034111C" w:rsidRPr="0016316A" w:rsidRDefault="0034111C" w:rsidP="55F036CA">
      <w:pPr>
        <w:ind w:left="1985" w:hanging="1985"/>
        <w:rPr>
          <w:rFonts w:ascii="Arial" w:hAnsi="Arial" w:cs="Arial"/>
          <w:b/>
          <w:bCs/>
          <w:sz w:val="24"/>
          <w:szCs w:val="24"/>
        </w:rPr>
      </w:pPr>
      <w:r w:rsidRPr="55F036CA">
        <w:rPr>
          <w:rFonts w:ascii="Arial" w:hAnsi="Arial" w:cs="Arial"/>
          <w:b/>
          <w:bCs/>
          <w:sz w:val="24"/>
          <w:szCs w:val="24"/>
        </w:rPr>
        <w:t>Title:</w:t>
      </w:r>
      <w:r w:rsidRPr="0016316A">
        <w:rPr>
          <w:rFonts w:ascii="Arial" w:hAnsi="Arial" w:cs="Arial"/>
          <w:b/>
          <w:bCs/>
          <w:sz w:val="24"/>
        </w:rPr>
        <w:tab/>
      </w:r>
      <w:r w:rsidR="00782D1D" w:rsidRPr="55F036CA">
        <w:rPr>
          <w:rFonts w:ascii="Arial" w:hAnsi="Arial" w:cs="Arial"/>
          <w:b/>
          <w:bCs/>
          <w:sz w:val="24"/>
          <w:szCs w:val="24"/>
        </w:rPr>
        <w:t>On the usage of PDCCH DMRS as a complementary synchronization signal in DL</w:t>
      </w:r>
    </w:p>
    <w:p w14:paraId="65B1F247" w14:textId="3E14B759" w:rsidR="0034111C" w:rsidRPr="0016316A" w:rsidRDefault="0034111C" w:rsidP="55F036CA">
      <w:pPr>
        <w:rPr>
          <w:rFonts w:ascii="Arial" w:hAnsi="Arial" w:cs="Arial"/>
          <w:b/>
          <w:bCs/>
          <w:sz w:val="24"/>
          <w:szCs w:val="24"/>
        </w:rPr>
      </w:pPr>
      <w:r w:rsidRPr="55F036CA">
        <w:rPr>
          <w:rFonts w:ascii="Arial" w:hAnsi="Arial" w:cs="Arial"/>
          <w:b/>
          <w:bCs/>
          <w:sz w:val="24"/>
          <w:szCs w:val="24"/>
        </w:rPr>
        <w:t xml:space="preserve">Document </w:t>
      </w:r>
      <w:r w:rsidR="55F036CA" w:rsidRPr="55F036CA">
        <w:rPr>
          <w:rFonts w:ascii="Arial" w:hAnsi="Arial" w:cs="Arial"/>
          <w:b/>
          <w:bCs/>
          <w:sz w:val="24"/>
          <w:szCs w:val="24"/>
        </w:rPr>
        <w:t>for:</w:t>
      </w:r>
      <w:r w:rsidRPr="0016316A">
        <w:rPr>
          <w:rFonts w:ascii="Arial" w:hAnsi="Arial" w:cs="Arial"/>
          <w:b/>
          <w:bCs/>
          <w:sz w:val="24"/>
        </w:rPr>
        <w:tab/>
      </w:r>
      <w:r w:rsidR="00141C0A">
        <w:rPr>
          <w:rFonts w:ascii="Arial" w:hAnsi="Arial" w:cs="Arial"/>
          <w:b/>
          <w:bCs/>
          <w:sz w:val="24"/>
        </w:rPr>
        <w:tab/>
      </w:r>
      <w:r w:rsidRPr="55F036CA">
        <w:rPr>
          <w:rFonts w:ascii="Arial" w:hAnsi="Arial" w:cs="Arial"/>
          <w:b/>
          <w:bCs/>
          <w:sz w:val="24"/>
          <w:szCs w:val="24"/>
        </w:rPr>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652A8756" w14:textId="4C324143" w:rsidR="00FA5EA7" w:rsidRDefault="55F036CA" w:rsidP="059F5B51">
      <w:pPr>
        <w:spacing w:after="120"/>
        <w:jc w:val="both"/>
        <w:rPr>
          <w:bCs/>
        </w:rPr>
      </w:pPr>
      <w:r>
        <w:t>Rel-14 NR study item [1] has been closed and a new Rel-15 WI dealing with New Radio Access Technology [2] has been approved. The work item should specify the NR functionalities for enhanced mobile broadband (eMBB) and ultra-reliable low-latency-communication (URLLC) as defined in TS 36.913. The NR under this work item should consider frequency ranges up to 52.6 GHz.</w:t>
      </w:r>
    </w:p>
    <w:p w14:paraId="33FB87D2" w14:textId="53964453" w:rsidR="00A53660" w:rsidRDefault="00A53660" w:rsidP="00A53660">
      <w:pPr>
        <w:overflowPunct/>
        <w:autoSpaceDE/>
        <w:autoSpaceDN/>
        <w:adjustRightInd/>
        <w:spacing w:after="0"/>
        <w:textAlignment w:val="auto"/>
      </w:pPr>
      <w:r>
        <w:t>One of the discussion points was whether additional reference signals may be needed to assist the UE in performing AGC and time/frequency synchronization when the bandwidth changes. There is a possibility that this may be needed e.g. when the center frequency changes. In this contribution, we discuss a possible way to provide complementary synchronization signal in NR DL in case it is needed. While UE bandwidth adaptation has been the main driver, the proposed approach may be applicable in other cases that require additional synchronization signals.</w:t>
      </w:r>
    </w:p>
    <w:p w14:paraId="46C81778" w14:textId="77777777" w:rsidR="00A53660" w:rsidRDefault="00A53660" w:rsidP="00A53660">
      <w:pPr>
        <w:overflowPunct/>
        <w:autoSpaceDE/>
        <w:autoSpaceDN/>
        <w:adjustRightInd/>
        <w:spacing w:after="0"/>
        <w:textAlignment w:val="auto"/>
        <w:rPr>
          <w:rFonts w:eastAsia="MS Mincho"/>
          <w:i/>
          <w:iCs/>
          <w:sz w:val="18"/>
          <w:szCs w:val="18"/>
          <w:lang w:val="en-US" w:eastAsia="ja-JP"/>
        </w:rPr>
      </w:pPr>
    </w:p>
    <w:p w14:paraId="5353DDF3" w14:textId="4BC9B652" w:rsidR="000E417F" w:rsidRDefault="000E417F" w:rsidP="000E417F">
      <w:pPr>
        <w:spacing w:after="120"/>
        <w:jc w:val="both"/>
        <w:rPr>
          <w:rFonts w:eastAsia="Malgun Gothic"/>
        </w:rPr>
      </w:pPr>
      <w:r>
        <w:t xml:space="preserve">The following </w:t>
      </w:r>
      <w:r w:rsidRPr="55F036CA">
        <w:rPr>
          <w:rFonts w:eastAsia="Malgun Gothic"/>
        </w:rPr>
        <w:t>agreements</w:t>
      </w:r>
      <w:r>
        <w:rPr>
          <w:rFonts w:eastAsia="Malgun Gothic"/>
        </w:rPr>
        <w:t xml:space="preserve"> </w:t>
      </w:r>
      <w:r w:rsidRPr="55F036CA">
        <w:rPr>
          <w:rFonts w:eastAsia="Malgun Gothic"/>
        </w:rPr>
        <w:t xml:space="preserve">were made in RAN1 </w:t>
      </w:r>
      <w:r>
        <w:rPr>
          <w:rFonts w:eastAsia="Malgun Gothic"/>
        </w:rPr>
        <w:t>Ad-hoc#3</w:t>
      </w:r>
      <w:r w:rsidRPr="55F036CA">
        <w:rPr>
          <w:rFonts w:eastAsia="Malgun Gothic"/>
        </w:rPr>
        <w:t xml:space="preserve"> </w:t>
      </w:r>
      <w:r w:rsidR="00287677">
        <w:rPr>
          <w:rFonts w:eastAsia="Malgun Gothic"/>
        </w:rPr>
        <w:t xml:space="preserve">[3] </w:t>
      </w:r>
      <w:r w:rsidRPr="55F036CA">
        <w:rPr>
          <w:rFonts w:eastAsia="Malgun Gothic"/>
        </w:rPr>
        <w:t>on</w:t>
      </w:r>
      <w:r>
        <w:rPr>
          <w:rFonts w:eastAsia="Malgun Gothic"/>
        </w:rPr>
        <w:t xml:space="preserve"> the bandwidth parts</w:t>
      </w:r>
      <w:r w:rsidRPr="55F036CA">
        <w:rPr>
          <w:rFonts w:eastAsia="Malgun Gothic"/>
        </w:rPr>
        <w:t>:</w:t>
      </w:r>
    </w:p>
    <w:p w14:paraId="53769356" w14:textId="77777777" w:rsidR="000E417F" w:rsidRPr="000C1D59" w:rsidRDefault="000E417F" w:rsidP="000E417F">
      <w:pPr>
        <w:spacing w:after="0"/>
        <w:ind w:firstLine="284"/>
        <w:rPr>
          <w:rFonts w:eastAsia="MS Mincho"/>
          <w:b/>
          <w:bCs/>
          <w:sz w:val="18"/>
          <w:szCs w:val="18"/>
          <w:u w:val="single"/>
          <w:lang w:val="en-US" w:eastAsia="ja-JP"/>
        </w:rPr>
      </w:pPr>
      <w:r w:rsidRPr="55F036CA">
        <w:rPr>
          <w:rFonts w:eastAsia="MS Mincho"/>
          <w:b/>
          <w:bCs/>
          <w:sz w:val="18"/>
          <w:szCs w:val="18"/>
          <w:highlight w:val="green"/>
          <w:u w:val="single"/>
          <w:lang w:val="en-US" w:eastAsia="ja-JP"/>
        </w:rPr>
        <w:t>Agreements:</w:t>
      </w:r>
    </w:p>
    <w:p w14:paraId="06FF1ED7" w14:textId="77777777" w:rsidR="000E417F" w:rsidRPr="00341087" w:rsidRDefault="000E417F" w:rsidP="059F5B51">
      <w:pPr>
        <w:pStyle w:val="ListParagraph"/>
        <w:numPr>
          <w:ilvl w:val="0"/>
          <w:numId w:val="28"/>
        </w:numPr>
        <w:rPr>
          <w:rFonts w:eastAsia="PMingLiU"/>
          <w:i/>
          <w:iCs/>
          <w:sz w:val="18"/>
          <w:szCs w:val="18"/>
          <w:lang w:val="en-US" w:eastAsia="zh-TW"/>
        </w:rPr>
      </w:pPr>
      <w:r w:rsidRPr="059F5B51">
        <w:rPr>
          <w:rFonts w:eastAsia="PMingLiU"/>
          <w:i/>
          <w:iCs/>
          <w:sz w:val="18"/>
          <w:szCs w:val="18"/>
          <w:lang w:val="en-US" w:eastAsia="zh-TW"/>
        </w:rPr>
        <w:t>In Rel-15, for a UE, there is at most one active DL BWP and at most one active UL BWP at a given time for a serving cell</w:t>
      </w:r>
    </w:p>
    <w:p w14:paraId="044ED45C" w14:textId="77777777" w:rsidR="000E417F" w:rsidRPr="002A22C4" w:rsidRDefault="000E417F" w:rsidP="000E417F">
      <w:pPr>
        <w:overflowPunct/>
        <w:autoSpaceDE/>
        <w:autoSpaceDN/>
        <w:adjustRightInd/>
        <w:spacing w:after="0"/>
        <w:ind w:left="720"/>
        <w:textAlignment w:val="auto"/>
        <w:rPr>
          <w:rFonts w:eastAsia="PMingLiU"/>
          <w:i/>
          <w:iCs/>
          <w:sz w:val="18"/>
          <w:szCs w:val="18"/>
          <w:lang w:val="en-US" w:eastAsia="zh-TW"/>
        </w:rPr>
      </w:pPr>
    </w:p>
    <w:p w14:paraId="5F356E04" w14:textId="77777777" w:rsidR="000E417F" w:rsidRPr="000C1D59" w:rsidRDefault="000E417F" w:rsidP="000E417F">
      <w:pPr>
        <w:spacing w:after="0"/>
        <w:ind w:firstLine="284"/>
        <w:rPr>
          <w:rFonts w:eastAsia="MS Mincho"/>
          <w:b/>
          <w:bCs/>
          <w:sz w:val="18"/>
          <w:szCs w:val="18"/>
          <w:u w:val="single"/>
          <w:lang w:val="en-US" w:eastAsia="ja-JP"/>
        </w:rPr>
      </w:pPr>
      <w:r w:rsidRPr="55F036CA">
        <w:rPr>
          <w:rFonts w:eastAsia="MS Mincho"/>
          <w:b/>
          <w:bCs/>
          <w:sz w:val="18"/>
          <w:szCs w:val="18"/>
          <w:highlight w:val="green"/>
          <w:u w:val="single"/>
          <w:lang w:val="en-US" w:eastAsia="ja-JP"/>
        </w:rPr>
        <w:t>Agreements:</w:t>
      </w:r>
    </w:p>
    <w:p w14:paraId="1FCA69D2" w14:textId="77777777" w:rsidR="000E417F" w:rsidRPr="00341087" w:rsidRDefault="000E417F" w:rsidP="059F5B51">
      <w:pPr>
        <w:pStyle w:val="ListParagraph"/>
        <w:numPr>
          <w:ilvl w:val="0"/>
          <w:numId w:val="28"/>
        </w:numPr>
        <w:rPr>
          <w:rFonts w:eastAsia="PMingLiU"/>
          <w:i/>
          <w:iCs/>
          <w:sz w:val="18"/>
          <w:szCs w:val="18"/>
          <w:lang w:val="en-US" w:eastAsia="zh-TW"/>
        </w:rPr>
      </w:pPr>
      <w:r w:rsidRPr="059F5B51">
        <w:rPr>
          <w:rFonts w:eastAsia="PMingLiU"/>
          <w:i/>
          <w:iCs/>
          <w:sz w:val="18"/>
          <w:szCs w:val="18"/>
          <w:lang w:val="en-US" w:eastAsia="zh-TW"/>
        </w:rPr>
        <w:t>NR supports the case that a single scheduling DCI can switch the UE's active BWP from one to another (of the same link direction) within a given serving cell</w:t>
      </w:r>
    </w:p>
    <w:p w14:paraId="334A5304" w14:textId="432875FD" w:rsidR="000E417F" w:rsidRPr="00341087" w:rsidRDefault="000E417F" w:rsidP="059F5B51">
      <w:pPr>
        <w:pStyle w:val="ListParagraph"/>
        <w:numPr>
          <w:ilvl w:val="1"/>
          <w:numId w:val="28"/>
        </w:numPr>
        <w:rPr>
          <w:rFonts w:eastAsia="PMingLiU"/>
          <w:i/>
          <w:iCs/>
          <w:sz w:val="18"/>
          <w:szCs w:val="18"/>
          <w:lang w:val="en-US" w:eastAsia="zh-TW"/>
        </w:rPr>
      </w:pPr>
      <w:r w:rsidRPr="059F5B51">
        <w:rPr>
          <w:rFonts w:eastAsia="PMingLiU"/>
          <w:i/>
          <w:iCs/>
          <w:sz w:val="18"/>
          <w:szCs w:val="18"/>
          <w:lang w:val="en-US" w:eastAsia="zh-TW"/>
        </w:rPr>
        <w:t>FFS whether &amp; how for active BWP switching only without scheduling (including the case of UL scheduling without UL-SCH)</w:t>
      </w:r>
    </w:p>
    <w:p w14:paraId="02434A13" w14:textId="1DACF43B" w:rsidR="000E417F" w:rsidRDefault="000E417F" w:rsidP="00341087">
      <w:pPr>
        <w:pStyle w:val="ListParagraph"/>
        <w:ind w:left="1440"/>
        <w:rPr>
          <w:rFonts w:eastAsia="PMingLiU"/>
          <w:i/>
          <w:iCs/>
          <w:sz w:val="18"/>
          <w:szCs w:val="18"/>
          <w:lang w:val="en-US" w:eastAsia="zh-TW"/>
        </w:rPr>
      </w:pPr>
    </w:p>
    <w:p w14:paraId="7BB89E24" w14:textId="6907AA6A" w:rsidR="000E417F" w:rsidRDefault="000E417F" w:rsidP="000E417F">
      <w:pPr>
        <w:spacing w:after="120"/>
        <w:jc w:val="both"/>
        <w:rPr>
          <w:rFonts w:eastAsia="Malgun Gothic"/>
        </w:rPr>
      </w:pPr>
      <w:r>
        <w:t xml:space="preserve">Additionally, the following </w:t>
      </w:r>
      <w:r>
        <w:rPr>
          <w:rFonts w:eastAsia="Malgun Gothic"/>
        </w:rPr>
        <w:t xml:space="preserve">following working assumption related to the precoder granularity and DMRS transmission in a CORESET were made in </w:t>
      </w:r>
      <w:r w:rsidRPr="55F036CA">
        <w:rPr>
          <w:rFonts w:eastAsia="Malgun Gothic"/>
        </w:rPr>
        <w:t xml:space="preserve">RAN1 </w:t>
      </w:r>
      <w:r>
        <w:rPr>
          <w:rFonts w:eastAsia="Malgun Gothic"/>
        </w:rPr>
        <w:t>Ad-hoc#3</w:t>
      </w:r>
      <w:r w:rsidRPr="55F036CA">
        <w:rPr>
          <w:rFonts w:eastAsia="Malgun Gothic"/>
        </w:rPr>
        <w:t>:</w:t>
      </w:r>
    </w:p>
    <w:p w14:paraId="417C4750" w14:textId="77777777" w:rsidR="000E417F" w:rsidRPr="00341087" w:rsidRDefault="000E417F" w:rsidP="00341087">
      <w:pPr>
        <w:pStyle w:val="ListParagraph"/>
        <w:ind w:left="1440"/>
        <w:rPr>
          <w:rFonts w:eastAsia="PMingLiU"/>
          <w:i/>
          <w:iCs/>
          <w:sz w:val="18"/>
          <w:szCs w:val="18"/>
          <w:lang w:val="en-GB" w:eastAsia="zh-TW"/>
        </w:rPr>
      </w:pPr>
    </w:p>
    <w:p w14:paraId="2991D9BC" w14:textId="1F8DDD27" w:rsidR="000E417F" w:rsidRPr="00341087" w:rsidRDefault="000E417F" w:rsidP="00341087">
      <w:pPr>
        <w:spacing w:after="0"/>
        <w:ind w:firstLine="284"/>
        <w:rPr>
          <w:rFonts w:eastAsia="MS Mincho"/>
          <w:sz w:val="17"/>
          <w:szCs w:val="17"/>
          <w:highlight w:val="darkYellow"/>
        </w:rPr>
      </w:pPr>
      <w:r w:rsidRPr="00606AC6">
        <w:rPr>
          <w:rFonts w:eastAsia="MS Mincho"/>
          <w:sz w:val="17"/>
          <w:szCs w:val="17"/>
          <w:highlight w:val="darkYellow"/>
        </w:rPr>
        <w:t>Working assumption:</w:t>
      </w:r>
      <w:r w:rsidRPr="00790053">
        <w:rPr>
          <w:rFonts w:eastAsia="MS Mincho"/>
          <w:b/>
          <w:bCs/>
          <w:sz w:val="17"/>
          <w:szCs w:val="17"/>
          <w:lang w:val="en-US" w:eastAsia="ja-JP"/>
        </w:rPr>
        <w:t xml:space="preserve"> </w:t>
      </w:r>
    </w:p>
    <w:p w14:paraId="5B5AD9DD" w14:textId="77777777" w:rsidR="000E417F" w:rsidRPr="00BE19DC" w:rsidRDefault="000E417F" w:rsidP="000E417F">
      <w:pPr>
        <w:pStyle w:val="ListParagraph"/>
        <w:numPr>
          <w:ilvl w:val="0"/>
          <w:numId w:val="38"/>
        </w:numPr>
        <w:rPr>
          <w:rFonts w:eastAsia="MS Mincho"/>
          <w:sz w:val="17"/>
          <w:szCs w:val="17"/>
          <w:lang w:val="en-US" w:eastAsia="ja-JP"/>
        </w:rPr>
      </w:pPr>
      <w:r w:rsidRPr="00BE19DC">
        <w:rPr>
          <w:rFonts w:eastAsia="MS Mincho"/>
          <w:sz w:val="17"/>
          <w:szCs w:val="17"/>
          <w:lang w:val="en-US" w:eastAsia="ja-JP"/>
        </w:rPr>
        <w:t>For a CORESET, precoder granularity in frequency domain is:</w:t>
      </w:r>
    </w:p>
    <w:p w14:paraId="4764CD16" w14:textId="77777777" w:rsidR="000E417F" w:rsidRPr="00BE19DC" w:rsidRDefault="000E417F" w:rsidP="000E417F">
      <w:pPr>
        <w:pStyle w:val="ListParagraph"/>
        <w:numPr>
          <w:ilvl w:val="1"/>
          <w:numId w:val="38"/>
        </w:numPr>
        <w:rPr>
          <w:rFonts w:eastAsia="MS Mincho"/>
          <w:sz w:val="17"/>
          <w:szCs w:val="17"/>
          <w:lang w:val="en-US" w:eastAsia="ja-JP"/>
        </w:rPr>
      </w:pPr>
      <w:r w:rsidRPr="00BE19DC">
        <w:rPr>
          <w:rFonts w:eastAsia="MS Mincho"/>
          <w:sz w:val="17"/>
          <w:szCs w:val="17"/>
          <w:lang w:val="en-US" w:eastAsia="ja-JP"/>
        </w:rPr>
        <w:t>Configurable between i) equal to the REG bundle size in the frequency domain; or ii) equal to the number of contiguous RBs in the frequency domain within the CORESET</w:t>
      </w:r>
    </w:p>
    <w:p w14:paraId="011CA667" w14:textId="77777777" w:rsidR="000E417F" w:rsidRDefault="000E417F" w:rsidP="000E417F">
      <w:pPr>
        <w:pStyle w:val="ListParagraph"/>
        <w:numPr>
          <w:ilvl w:val="2"/>
          <w:numId w:val="38"/>
        </w:numPr>
        <w:rPr>
          <w:rFonts w:eastAsia="MS Mincho"/>
          <w:sz w:val="17"/>
          <w:szCs w:val="17"/>
          <w:lang w:val="en-US" w:eastAsia="ja-JP"/>
        </w:rPr>
      </w:pPr>
      <w:r w:rsidRPr="00BE19DC">
        <w:rPr>
          <w:rFonts w:eastAsia="MS Mincho"/>
          <w:sz w:val="17"/>
          <w:szCs w:val="17"/>
          <w:lang w:val="en-US" w:eastAsia="ja-JP"/>
        </w:rPr>
        <w:t>For ii), DMRS is mapped over all REGs within the CORESET.</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55F036CA" w:rsidP="00EF2AED">
      <w:r>
        <w:t>In LTE, there is CRS (common reference symbol) in each DL subframe. CRS can be used on UE side e.g. for DL synchronization, RRM/CSI measurements and demodulation. Continuous CRS is good from UE implementation point of view and is used as baseline assumption when developing UE performance requirements in RAN4. A disadvantage is that having eNB requirement of continuously transmitting CRS will reduce opportunities for eNB energy saving. Furthermore, it will create excessive interference in the networks, and additional RS overhead, in the cases when DMRS based detection is applied.</w:t>
      </w:r>
    </w:p>
    <w:p w14:paraId="505AA313" w14:textId="1A0A3B25" w:rsidR="00EF2AED" w:rsidRDefault="55F036CA" w:rsidP="00EF2AED">
      <w:r>
        <w:t xml:space="preserve">New radio will be based on a lean carrier design minimizing always-on signalling, i.e. 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 be transmitted with relatively large periodicity, such as 5 ms, 10, 20 or 40 ms (or even longer intervals). </w:t>
      </w:r>
    </w:p>
    <w:p w14:paraId="642B7FC9" w14:textId="77777777" w:rsidR="00EF2AED" w:rsidRDefault="55F036CA" w:rsidP="00EF2AED">
      <w:r>
        <w:lastRenderedPageBreak/>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55F036CA" w:rsidP="00EF2AED">
      <w:r w:rsidRPr="059F5B51">
        <w:rPr>
          <w:b/>
          <w:bCs/>
          <w:i/>
          <w:iCs/>
        </w:rPr>
        <w:t>Observation #1</w:t>
      </w:r>
      <w:r>
        <w:t xml:space="preserve">: </w:t>
      </w:r>
      <w:r w:rsidRPr="059F5B51">
        <w:rPr>
          <w:i/>
          <w:iCs/>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54F6D991" w:rsidR="00696452" w:rsidRDefault="55F036CA" w:rsidP="00696452">
      <w:r w:rsidRPr="55F036CA">
        <w:rPr>
          <w:rFonts w:eastAsia="MS Mincho"/>
          <w:lang w:val="en-US" w:eastAsia="ja-JP"/>
        </w:rPr>
        <w:t xml:space="preserve">As agreed in RAN1 #87, the time/freq. resource containing at least one search space is obtained from MIB/system information/implicitly derived from initial access information. </w:t>
      </w:r>
      <w:r>
        <w:t>Based on the agreement made in RAN1#88bis “</w:t>
      </w:r>
      <w:r w:rsidRPr="059F5B51">
        <w:rPr>
          <w:i/>
          <w:iCs/>
        </w:rPr>
        <w:t>One-port transmit diversity scheme with REG bundling per CCE is used for NR-PDCCH</w:t>
      </w:r>
      <w:r>
        <w:t>”.</w:t>
      </w:r>
      <w:r w:rsidRPr="55F036CA">
        <w:rPr>
          <w:rFonts w:eastAsia="MS Mincho"/>
          <w:lang w:eastAsia="ja-JP"/>
        </w:rPr>
        <w:t xml:space="preserve"> Furthermore, based on the agreement in RAN1#87, the PDCCH DMRS in CSS does not depend on the RNTI or UE-identity.</w:t>
      </w:r>
      <w:r w:rsidRPr="55F036CA">
        <w:rPr>
          <w:rFonts w:eastAsia="MS Mincho"/>
          <w:lang w:val="en-US" w:eastAsia="ja-JP"/>
        </w:rPr>
        <w:t xml:space="preserve"> Hence, </w:t>
      </w:r>
      <w:r>
        <w:t>it is a signal that can be used as a signal assisting any UE’s frequency/time synchronization as well as AGC setting (and possibly for other possible use cases such as RRM measurements as well) e.g. when UE RF bandwidth changes.</w:t>
      </w:r>
      <w:r w:rsidR="00DA606F">
        <w:t xml:space="preserve"> Furthermore, it can be used as TRS for bandwidth parts without SS block.</w:t>
      </w:r>
      <w:r>
        <w:t xml:space="preserve"> </w:t>
      </w:r>
      <w:r w:rsidR="00790053">
        <w:t xml:space="preserve">In these cases </w:t>
      </w:r>
      <w:r w:rsidR="000E417F">
        <w:t>D</w:t>
      </w:r>
      <w:r w:rsidR="00DA606F">
        <w:t xml:space="preserve">MRS transmission </w:t>
      </w:r>
      <w:r w:rsidR="00790053">
        <w:t>can follow</w:t>
      </w:r>
      <w:r w:rsidR="00DA606F">
        <w:t xml:space="preserve"> the </w:t>
      </w:r>
      <w:r w:rsidR="000E417F">
        <w:t>procoder option ii)</w:t>
      </w:r>
      <w:r w:rsidR="00790053">
        <w:t xml:space="preserve"> defined at</w:t>
      </w:r>
      <w:r w:rsidR="002B7C50">
        <w:t xml:space="preserve"> NR Ad-hoc#3,</w:t>
      </w:r>
      <w:r w:rsidR="000E417F">
        <w:t xml:space="preserve"> where </w:t>
      </w:r>
      <w:r w:rsidR="000E417F" w:rsidRPr="000E417F">
        <w:t>DMRS is mapped over all REGs within the CORESET</w:t>
      </w:r>
      <w:r w:rsidR="000E417F">
        <w:t>.</w:t>
      </w:r>
    </w:p>
    <w:p w14:paraId="10F1F03C" w14:textId="01260C61" w:rsidR="00696452" w:rsidRPr="00696452" w:rsidRDefault="55F036CA" w:rsidP="55F036CA">
      <w:pPr>
        <w:spacing w:after="0"/>
        <w:jc w:val="both"/>
        <w:rPr>
          <w:rFonts w:eastAsia="MS Mincho"/>
          <w:lang w:val="en-US" w:eastAsia="ja-JP"/>
        </w:rPr>
      </w:pPr>
      <w:r w:rsidRPr="55F036CA">
        <w:rPr>
          <w:rFonts w:eastAsia="MS Mincho"/>
          <w:lang w:eastAsia="ja-JP"/>
        </w:rPr>
        <w:t xml:space="preserve">Following the LTE principles, CORESET defined for CSS could be available in the first OFDM symbol(s) of each DL and bi-directional slots. </w:t>
      </w:r>
      <w:r w:rsidRPr="55F036CA">
        <w:rPr>
          <w:rFonts w:eastAsia="MS Mincho"/>
          <w:lang w:val="en-US" w:eastAsia="ja-JP"/>
        </w:rPr>
        <w:t>When PDCCH transmitted via CSS contains DCI for at least one UE, DMRS will be present in NR-CCEs carrying DCI. However, when there is no DCI in certain slot, it may be up-to gNB to define whether or not to transmit DMRS via corresponding resource elements of PDCCH CCEs</w:t>
      </w:r>
    </w:p>
    <w:p w14:paraId="2C99E2D9" w14:textId="78F9A828" w:rsidR="00696452" w:rsidRPr="00696452" w:rsidRDefault="55F036CA" w:rsidP="55F036CA">
      <w:pPr>
        <w:pStyle w:val="ListParagraph"/>
        <w:numPr>
          <w:ilvl w:val="0"/>
          <w:numId w:val="32"/>
        </w:numPr>
        <w:tabs>
          <w:tab w:val="clear" w:pos="1080"/>
          <w:tab w:val="num" w:pos="851"/>
        </w:tabs>
        <w:ind w:left="851" w:hanging="425"/>
        <w:jc w:val="both"/>
        <w:rPr>
          <w:rFonts w:eastAsia="MS Mincho"/>
          <w:sz w:val="20"/>
          <w:szCs w:val="20"/>
          <w:lang w:val="en-US" w:eastAsia="ja-JP"/>
        </w:rPr>
      </w:pPr>
      <w:r w:rsidRPr="55F036CA">
        <w:rPr>
          <w:rFonts w:eastAsia="MS Mincho"/>
          <w:sz w:val="20"/>
          <w:szCs w:val="20"/>
          <w:lang w:val="en-US" w:eastAsia="ja-JP"/>
        </w:rPr>
        <w:t>Transmitting DMRS via CORESET defined for CSS would help UEs to maintain sync (similarly as CRS in LTE)</w:t>
      </w:r>
    </w:p>
    <w:p w14:paraId="6BEAB273" w14:textId="45E1A431" w:rsidR="00EF2AED" w:rsidRPr="00696452" w:rsidRDefault="55F036CA" w:rsidP="55F036CA">
      <w:pPr>
        <w:pStyle w:val="ListParagraph"/>
        <w:numPr>
          <w:ilvl w:val="0"/>
          <w:numId w:val="32"/>
        </w:numPr>
        <w:tabs>
          <w:tab w:val="clear" w:pos="1080"/>
          <w:tab w:val="num" w:pos="851"/>
        </w:tabs>
        <w:ind w:left="851" w:hanging="425"/>
        <w:jc w:val="both"/>
        <w:rPr>
          <w:rFonts w:eastAsia="MS Mincho"/>
          <w:sz w:val="20"/>
          <w:szCs w:val="20"/>
          <w:lang w:val="en-US" w:eastAsia="ja-JP"/>
        </w:rPr>
      </w:pPr>
      <w:r w:rsidRPr="55F036CA">
        <w:rPr>
          <w:rFonts w:eastAsia="MS Mincho"/>
          <w:sz w:val="20"/>
          <w:szCs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3052493B" w:rsidR="004D32AC" w:rsidRDefault="55F036CA" w:rsidP="000320E2">
      <w:pPr>
        <w:spacing w:after="0"/>
        <w:jc w:val="both"/>
      </w:pPr>
      <w:r w:rsidRPr="55F036CA">
        <w:rPr>
          <w:rFonts w:eastAsia="MS Mincho"/>
          <w:lang w:eastAsia="ja-JP"/>
        </w:rPr>
        <w:t>In order to facilitate synchronization at UE using complementary signals in an implementation friendly manner, gNB can transmit DMRS in CORESET defined for CSS and indicate</w:t>
      </w:r>
      <w:r>
        <w:t xml:space="preserve"> this to the UE. The transmission of DMRS is not always on, and it is triggered only when needed. The UE becomes then aware the time instants (slots) where DMRS on CORESET defined for CSS is present and can use it for signal processing (such as synchronization and AGC). </w:t>
      </w:r>
    </w:p>
    <w:p w14:paraId="1AF26B1A" w14:textId="2F65FD95" w:rsidR="004D32AC" w:rsidRDefault="004D32AC" w:rsidP="000320E2">
      <w:pPr>
        <w:spacing w:after="0"/>
        <w:jc w:val="both"/>
      </w:pPr>
    </w:p>
    <w:p w14:paraId="76BDFDDD" w14:textId="77777777" w:rsidR="000E417F" w:rsidRDefault="000E417F" w:rsidP="000320E2">
      <w:pPr>
        <w:spacing w:after="0"/>
        <w:jc w:val="both"/>
      </w:pPr>
    </w:p>
    <w:p w14:paraId="51EAC927" w14:textId="489EBA8E" w:rsidR="004D32AC" w:rsidRPr="00341087" w:rsidRDefault="55F036CA" w:rsidP="059F5B51">
      <w:pPr>
        <w:spacing w:after="0"/>
        <w:rPr>
          <w:i/>
          <w:iCs/>
        </w:rPr>
      </w:pPr>
      <w:r w:rsidRPr="059F5B51">
        <w:rPr>
          <w:b/>
          <w:bCs/>
          <w:i/>
          <w:iCs/>
        </w:rPr>
        <w:t>Observation #2</w:t>
      </w:r>
      <w:r>
        <w:t xml:space="preserve">: </w:t>
      </w:r>
      <w:r w:rsidRPr="059F5B51">
        <w:rPr>
          <w:i/>
          <w:iCs/>
        </w:rPr>
        <w:t>DMRS in CORESET defined for CSS can be used as a signal assisting UE’s frequency/time synchronization</w:t>
      </w:r>
    </w:p>
    <w:p w14:paraId="0FC25414" w14:textId="49FC2687" w:rsidR="004D32AC" w:rsidRPr="00341087" w:rsidRDefault="55F036CA" w:rsidP="059F5B51">
      <w:pPr>
        <w:spacing w:after="0"/>
        <w:rPr>
          <w:rFonts w:eastAsia="PMingLiU"/>
          <w:i/>
          <w:iCs/>
          <w:lang w:val="en-US" w:eastAsia="zh-TW"/>
        </w:rPr>
      </w:pPr>
      <w:r w:rsidRPr="059F5B51">
        <w:rPr>
          <w:b/>
          <w:bCs/>
          <w:i/>
          <w:iCs/>
        </w:rPr>
        <w:t>Observation #3</w:t>
      </w:r>
      <w:r>
        <w:t xml:space="preserve">: </w:t>
      </w:r>
      <w:r w:rsidRPr="059F5B51">
        <w:rPr>
          <w:i/>
          <w:iCs/>
        </w:rPr>
        <w:t xml:space="preserve">Triggered DMRS in the CORESET defined for CSS is a way to provide complementary synchronization signal if needed, e.g. in the case of </w:t>
      </w:r>
      <w:r w:rsidRPr="059F5B51">
        <w:rPr>
          <w:rFonts w:eastAsia="PMingLiU"/>
          <w:i/>
          <w:iCs/>
          <w:lang w:val="en-US" w:eastAsia="zh-TW"/>
        </w:rPr>
        <w:t>RF bandwidth configuration changes.</w:t>
      </w:r>
    </w:p>
    <w:p w14:paraId="775573BA" w14:textId="60E099A2" w:rsidR="00DA606F" w:rsidRPr="00341087" w:rsidRDefault="00DA606F" w:rsidP="059F5B51">
      <w:pPr>
        <w:spacing w:after="0"/>
        <w:rPr>
          <w:i/>
          <w:iCs/>
        </w:rPr>
      </w:pPr>
      <w:r w:rsidRPr="059F5B51">
        <w:rPr>
          <w:b/>
          <w:bCs/>
          <w:i/>
          <w:iCs/>
        </w:rPr>
        <w:t>Observation #4</w:t>
      </w:r>
      <w:r>
        <w:t xml:space="preserve">: </w:t>
      </w:r>
      <w:r w:rsidRPr="059F5B51">
        <w:rPr>
          <w:i/>
          <w:iCs/>
        </w:rPr>
        <w:t>DMRS in the CORESET defined for CSS can be used as TRS for bandwidth parts without SS block</w:t>
      </w:r>
      <w:r w:rsidRPr="059F5B51">
        <w:rPr>
          <w:rFonts w:eastAsia="PMingLiU"/>
          <w:i/>
          <w:iCs/>
          <w:lang w:val="en-US" w:eastAsia="zh-TW"/>
        </w:rPr>
        <w:t>.</w:t>
      </w:r>
    </w:p>
    <w:p w14:paraId="695EDD1C" w14:textId="77777777" w:rsidR="00DA606F" w:rsidRPr="003B2AE5" w:rsidRDefault="00DA606F" w:rsidP="55F036CA">
      <w:pPr>
        <w:spacing w:after="0"/>
        <w:rPr>
          <w:i/>
          <w:iCs/>
        </w:rPr>
      </w:pPr>
    </w:p>
    <w:p w14:paraId="61037DC4" w14:textId="77777777" w:rsidR="004D32AC" w:rsidRDefault="004D32AC" w:rsidP="000320E2">
      <w:pPr>
        <w:spacing w:after="0"/>
        <w:jc w:val="both"/>
      </w:pPr>
    </w:p>
    <w:p w14:paraId="241D74F6" w14:textId="4F7CFB6C" w:rsidR="000320E2" w:rsidRPr="0071684E" w:rsidRDefault="55F036CA" w:rsidP="55F036CA">
      <w:pPr>
        <w:spacing w:after="0"/>
        <w:jc w:val="both"/>
        <w:rPr>
          <w:rFonts w:eastAsia="MS Mincho"/>
          <w:lang w:val="en-US" w:eastAsia="ja-JP"/>
        </w:rPr>
      </w:pPr>
      <w:r w:rsidRPr="55F036CA">
        <w:rPr>
          <w:rFonts w:eastAsia="MS Mincho"/>
          <w:lang w:eastAsia="ja-JP"/>
        </w:rPr>
        <w:t xml:space="preserve">Figure 1 shows an example of using the PDCCH DMRS for assisting UE re-synchronization in the case of RF bandwidth adaptation. </w:t>
      </w:r>
      <w:r w:rsidRPr="55F036CA">
        <w:rPr>
          <w:rFonts w:eastAsia="MS Mincho"/>
          <w:lang w:val="en-US" w:eastAsia="ja-JP"/>
        </w:rPr>
        <w:t>The RF bandwidth switching command is e.g. given by DCI in slot n. UE knows that slots n+1 and n+2 contain DMRS in CORESET defined for CSS. This signal is available for AGC/frequency/time synchronization. The UE would then be ready to receive/transmit according to new RF bandwidth in slot n+3. Alternatively the UE may also be able to receive/transmit before slot n+3 but with possibly degraded performance due to time/frequency synchronization errors.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fi-FI" w:eastAsia="fi-FI"/>
        </w:rPr>
        <w:drawing>
          <wp:inline distT="0" distB="0" distL="0" distR="0" wp14:anchorId="2A863061" wp14:editId="433B2218">
            <wp:extent cx="2883369" cy="9039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0633" cy="912536"/>
                    </a:xfrm>
                    <a:prstGeom prst="rect">
                      <a:avLst/>
                    </a:prstGeom>
                  </pic:spPr>
                </pic:pic>
              </a:graphicData>
            </a:graphic>
          </wp:inline>
        </w:drawing>
      </w:r>
    </w:p>
    <w:p w14:paraId="78E741B1" w14:textId="08C6341B" w:rsidR="000320E2" w:rsidRDefault="000320E2" w:rsidP="55F036CA">
      <w:pPr>
        <w:pStyle w:val="Caption"/>
        <w:jc w:val="center"/>
        <w:rPr>
          <w:rFonts w:eastAsia="MS Mincho"/>
          <w:lang w:val="en-US" w:eastAsia="ja-JP"/>
        </w:rP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w:t>
      </w:r>
      <w:r w:rsidR="004D32AC">
        <w:t xml:space="preserve">RF switching triggering two DMRS transmission in </w:t>
      </w:r>
      <w:r w:rsidR="00134240">
        <w:t xml:space="preserve">CORESET defined for </w:t>
      </w:r>
      <w:r w:rsidR="004D32AC">
        <w:t>CSS</w:t>
      </w:r>
      <w:r w:rsidR="00134240">
        <w:t>.</w:t>
      </w:r>
    </w:p>
    <w:p w14:paraId="0D827FAF" w14:textId="58131A36" w:rsidR="0034111C" w:rsidRPr="00A51522" w:rsidRDefault="008B2133" w:rsidP="55F036CA">
      <w:pPr>
        <w:pStyle w:val="Heading1"/>
        <w:rPr>
          <w:color w:val="000000" w:themeColor="text1"/>
        </w:rPr>
      </w:pPr>
      <w:r>
        <w:rPr>
          <w:color w:val="000000"/>
        </w:rPr>
        <w:t>4</w:t>
      </w:r>
      <w:r w:rsidR="0034111C" w:rsidRPr="00A51522">
        <w:rPr>
          <w:color w:val="000000"/>
        </w:rPr>
        <w:tab/>
      </w:r>
      <w:r w:rsidR="00EE7FA7" w:rsidRPr="00A51522">
        <w:rPr>
          <w:color w:val="000000"/>
        </w:rPr>
        <w:t>C</w:t>
      </w:r>
      <w:bookmarkStart w:id="0" w:name="_GoBack"/>
      <w:bookmarkEnd w:id="0"/>
      <w:r w:rsidR="00EE7FA7" w:rsidRPr="00A51522">
        <w:rPr>
          <w:color w:val="000000"/>
        </w:rPr>
        <w:t>onclusion</w:t>
      </w:r>
      <w:r w:rsidR="00DB39D4" w:rsidRPr="00A51522">
        <w:rPr>
          <w:color w:val="000000"/>
        </w:rPr>
        <w:t>s</w:t>
      </w:r>
    </w:p>
    <w:p w14:paraId="626917E1" w14:textId="6B569C1B" w:rsidR="00731B79" w:rsidRDefault="55F036CA" w:rsidP="059F5B51">
      <w:pPr>
        <w:spacing w:after="120"/>
        <w:jc w:val="both"/>
        <w:rPr>
          <w:bCs/>
        </w:rPr>
      </w:pPr>
      <w:r>
        <w:t>In this contribution we have discussed conveying complementary synchronization signal in NR DL. Based on the discussion, we make the following observations:</w:t>
      </w:r>
    </w:p>
    <w:p w14:paraId="2AE70193" w14:textId="77777777" w:rsidR="0071684E" w:rsidRDefault="55F036CA" w:rsidP="0071684E">
      <w:pPr>
        <w:spacing w:after="0"/>
      </w:pPr>
      <w:r w:rsidRPr="059F5B51">
        <w:rPr>
          <w:b/>
          <w:bCs/>
          <w:i/>
          <w:iCs/>
        </w:rPr>
        <w:t>Observation #1</w:t>
      </w:r>
      <w:r>
        <w:t xml:space="preserve">: </w:t>
      </w:r>
      <w:r w:rsidRPr="059F5B51">
        <w:rPr>
          <w:i/>
          <w:iCs/>
        </w:rPr>
        <w:t>Lean carrier operation is limiting the UE’s synchronization opportunities considerably.</w:t>
      </w:r>
    </w:p>
    <w:p w14:paraId="4D7ECA37" w14:textId="36C9B4E5" w:rsidR="004D32AC" w:rsidRPr="00341087" w:rsidRDefault="55F036CA" w:rsidP="059F5B51">
      <w:pPr>
        <w:spacing w:after="0"/>
        <w:rPr>
          <w:i/>
          <w:iCs/>
        </w:rPr>
      </w:pPr>
      <w:r w:rsidRPr="059F5B51">
        <w:rPr>
          <w:b/>
          <w:bCs/>
          <w:i/>
          <w:iCs/>
        </w:rPr>
        <w:t>Observation #2</w:t>
      </w:r>
      <w:r>
        <w:t xml:space="preserve">: </w:t>
      </w:r>
      <w:r w:rsidRPr="059F5B51">
        <w:rPr>
          <w:i/>
          <w:iCs/>
        </w:rPr>
        <w:t>DMRS of CORESET defined for CSS can be used as a signal assisting UE’s frequency/time synchronization</w:t>
      </w:r>
    </w:p>
    <w:p w14:paraId="142082F7" w14:textId="19BB1628" w:rsidR="004D32AC" w:rsidRPr="00341087" w:rsidRDefault="55F036CA" w:rsidP="059F5B51">
      <w:pPr>
        <w:spacing w:after="0"/>
        <w:rPr>
          <w:rFonts w:eastAsia="PMingLiU"/>
          <w:i/>
          <w:iCs/>
          <w:lang w:val="en-US" w:eastAsia="zh-TW"/>
        </w:rPr>
      </w:pPr>
      <w:r w:rsidRPr="059F5B51">
        <w:rPr>
          <w:b/>
          <w:bCs/>
          <w:i/>
          <w:iCs/>
        </w:rPr>
        <w:t>Observation #3</w:t>
      </w:r>
      <w:r>
        <w:t xml:space="preserve">: </w:t>
      </w:r>
      <w:r w:rsidRPr="059F5B51">
        <w:rPr>
          <w:i/>
          <w:iCs/>
        </w:rPr>
        <w:t xml:space="preserve">Triggered DMRS in the CORESET defined for CSS is a way to provide complementary synchronization signal if needed, e.g. in the case of </w:t>
      </w:r>
      <w:r w:rsidRPr="059F5B51">
        <w:rPr>
          <w:rFonts w:eastAsia="PMingLiU"/>
          <w:i/>
          <w:iCs/>
          <w:lang w:val="en-US" w:eastAsia="zh-TW"/>
        </w:rPr>
        <w:t>RF bandwidth configuration changes.</w:t>
      </w:r>
    </w:p>
    <w:p w14:paraId="745A8EEA" w14:textId="77777777" w:rsidR="00DA606F" w:rsidRPr="00341087" w:rsidRDefault="00DA606F" w:rsidP="059F5B51">
      <w:pPr>
        <w:spacing w:after="0"/>
        <w:rPr>
          <w:i/>
          <w:iCs/>
        </w:rPr>
      </w:pPr>
      <w:r w:rsidRPr="059F5B51">
        <w:rPr>
          <w:b/>
          <w:bCs/>
          <w:i/>
          <w:iCs/>
        </w:rPr>
        <w:t>Observation #4</w:t>
      </w:r>
      <w:r>
        <w:t xml:space="preserve">: </w:t>
      </w:r>
      <w:r w:rsidRPr="059F5B51">
        <w:rPr>
          <w:i/>
          <w:iCs/>
        </w:rPr>
        <w:t>DMRS in the CORESET defined for CSS can be used as TRS for bandwidth parts without SS block</w:t>
      </w:r>
      <w:r w:rsidRPr="059F5B51">
        <w:rPr>
          <w:rFonts w:eastAsia="PMingLiU"/>
          <w:i/>
          <w:iCs/>
          <w:lang w:val="en-US" w:eastAsia="zh-TW"/>
        </w:rPr>
        <w:t>.</w:t>
      </w:r>
    </w:p>
    <w:p w14:paraId="394DAFB5" w14:textId="77777777" w:rsidR="00DA606F" w:rsidRPr="00341087" w:rsidRDefault="00DA606F" w:rsidP="55F036CA">
      <w:pPr>
        <w:spacing w:after="0"/>
        <w:rPr>
          <w:rFonts w:eastAsia="PMingLiU"/>
          <w:i/>
          <w:iCs/>
          <w:lang w:eastAsia="zh-TW"/>
        </w:rPr>
      </w:pPr>
    </w:p>
    <w:p w14:paraId="2F0729C1" w14:textId="77777777" w:rsidR="0034111C" w:rsidRPr="00A51522" w:rsidRDefault="55F036CA">
      <w:pPr>
        <w:pStyle w:val="Heading1"/>
      </w:pPr>
      <w:r>
        <w:t xml:space="preserve">References </w:t>
      </w:r>
    </w:p>
    <w:p w14:paraId="40D99FF0" w14:textId="77777777" w:rsidR="00055676" w:rsidRPr="00013455" w:rsidRDefault="55F036CA" w:rsidP="55F036CA">
      <w:pPr>
        <w:numPr>
          <w:ilvl w:val="0"/>
          <w:numId w:val="1"/>
        </w:numPr>
        <w:rPr>
          <w:sz w:val="18"/>
          <w:szCs w:val="18"/>
        </w:rPr>
      </w:pPr>
      <w:r w:rsidRPr="55F036CA">
        <w:rPr>
          <w:sz w:val="18"/>
          <w:szCs w:val="18"/>
          <w:lang w:eastAsia="zh-CN"/>
        </w:rPr>
        <w:t>RP-160671, “</w:t>
      </w:r>
      <w:r w:rsidRPr="059F5B51">
        <w:rPr>
          <w:i/>
          <w:iCs/>
          <w:sz w:val="18"/>
          <w:szCs w:val="18"/>
          <w:lang w:eastAsia="zh-CN"/>
        </w:rPr>
        <w:t>Study on New Radio Access Technology</w:t>
      </w:r>
      <w:r w:rsidRPr="55F036CA">
        <w:rPr>
          <w:sz w:val="18"/>
          <w:szCs w:val="18"/>
          <w:lang w:eastAsia="zh-CN"/>
        </w:rPr>
        <w:t>”, NTT DoCoMo</w:t>
      </w:r>
    </w:p>
    <w:p w14:paraId="65A964B2" w14:textId="77777777" w:rsidR="00FA5EA7" w:rsidRDefault="55F036CA" w:rsidP="55F036CA">
      <w:pPr>
        <w:numPr>
          <w:ilvl w:val="0"/>
          <w:numId w:val="1"/>
        </w:numPr>
        <w:rPr>
          <w:sz w:val="18"/>
          <w:szCs w:val="18"/>
        </w:rPr>
      </w:pPr>
      <w:r w:rsidRPr="55F036CA">
        <w:rPr>
          <w:sz w:val="18"/>
          <w:szCs w:val="18"/>
        </w:rPr>
        <w:t>RP-170847, “</w:t>
      </w:r>
      <w:r w:rsidRPr="059F5B51">
        <w:rPr>
          <w:i/>
          <w:iCs/>
          <w:sz w:val="18"/>
          <w:szCs w:val="18"/>
          <w:lang w:eastAsia="zh-CN"/>
        </w:rPr>
        <w:t>New WID on New Radio Access Technology</w:t>
      </w:r>
      <w:r w:rsidRPr="55F036CA">
        <w:rPr>
          <w:sz w:val="18"/>
          <w:szCs w:val="18"/>
        </w:rPr>
        <w:t xml:space="preserve">”, </w:t>
      </w:r>
      <w:r w:rsidRPr="55F036CA">
        <w:rPr>
          <w:sz w:val="18"/>
          <w:szCs w:val="18"/>
          <w:lang w:eastAsia="zh-CN"/>
        </w:rPr>
        <w:t>NTT DoCoMo</w:t>
      </w:r>
    </w:p>
    <w:p w14:paraId="718F1C86" w14:textId="3CD70B82" w:rsidR="00ED1759" w:rsidRPr="00DA3C6F" w:rsidRDefault="55F036CA" w:rsidP="55F036CA">
      <w:pPr>
        <w:numPr>
          <w:ilvl w:val="0"/>
          <w:numId w:val="1"/>
        </w:numPr>
        <w:rPr>
          <w:sz w:val="18"/>
          <w:szCs w:val="18"/>
        </w:rPr>
      </w:pPr>
      <w:r w:rsidRPr="55F036CA">
        <w:rPr>
          <w:sz w:val="18"/>
          <w:szCs w:val="18"/>
        </w:rPr>
        <w:t xml:space="preserve">RAN1 Chairman’s Notes, 3GPP TSG RAN WG1 </w:t>
      </w:r>
      <w:r w:rsidR="00287677">
        <w:rPr>
          <w:sz w:val="18"/>
          <w:szCs w:val="18"/>
        </w:rPr>
        <w:t>Ad-hoc#3</w:t>
      </w:r>
      <w:r w:rsidRPr="55F036CA">
        <w:rPr>
          <w:sz w:val="18"/>
          <w:szCs w:val="18"/>
        </w:rPr>
        <w:t>, 3GPP</w:t>
      </w:r>
    </w:p>
    <w:p w14:paraId="0EC8032A" w14:textId="5661C043" w:rsidR="00142DE2" w:rsidRPr="00DA3C6F" w:rsidRDefault="00142DE2" w:rsidP="0095232B">
      <w:pPr>
        <w:rPr>
          <w:sz w:val="18"/>
        </w:rPr>
      </w:pPr>
    </w:p>
    <w:sectPr w:rsidR="00142DE2" w:rsidRPr="00DA3C6F" w:rsidSect="007900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3D46B" w14:textId="77777777" w:rsidR="002C0D6E" w:rsidRDefault="002C0D6E">
      <w:r>
        <w:separator/>
      </w:r>
    </w:p>
  </w:endnote>
  <w:endnote w:type="continuationSeparator" w:id="0">
    <w:p w14:paraId="6656E745" w14:textId="77777777" w:rsidR="002C0D6E" w:rsidRDefault="002C0D6E">
      <w:r>
        <w:continuationSeparator/>
      </w:r>
    </w:p>
  </w:endnote>
  <w:endnote w:type="continuationNotice" w:id="1">
    <w:p w14:paraId="408AD90E" w14:textId="77777777" w:rsidR="002C0D6E" w:rsidRDefault="002C0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040FA" w14:textId="77777777" w:rsidR="002C0D6E" w:rsidRDefault="002C0D6E">
      <w:r>
        <w:separator/>
      </w:r>
    </w:p>
  </w:footnote>
  <w:footnote w:type="continuationSeparator" w:id="0">
    <w:p w14:paraId="1692A5CF" w14:textId="77777777" w:rsidR="002C0D6E" w:rsidRDefault="002C0D6E">
      <w:r>
        <w:continuationSeparator/>
      </w:r>
    </w:p>
  </w:footnote>
  <w:footnote w:type="continuationNotice" w:id="1">
    <w:p w14:paraId="11190ED5" w14:textId="77777777" w:rsidR="002C0D6E" w:rsidRDefault="002C0D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BB125A"/>
    <w:multiLevelType w:val="hybridMultilevel"/>
    <w:tmpl w:val="70526D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5"/>
  </w:num>
  <w:num w:numId="5">
    <w:abstractNumId w:val="9"/>
  </w:num>
  <w:num w:numId="6">
    <w:abstractNumId w:val="0"/>
  </w:num>
  <w:num w:numId="7">
    <w:abstractNumId w:val="7"/>
  </w:num>
  <w:num w:numId="8">
    <w:abstractNumId w:val="27"/>
  </w:num>
  <w:num w:numId="9">
    <w:abstractNumId w:val="5"/>
  </w:num>
  <w:num w:numId="10">
    <w:abstractNumId w:val="4"/>
  </w:num>
  <w:num w:numId="11">
    <w:abstractNumId w:val="34"/>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6"/>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3"/>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 w:numId="37">
    <w:abstractNumId w:val="32"/>
  </w:num>
  <w:num w:numId="38">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07D93"/>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AB5"/>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3B13"/>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17F"/>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40"/>
    <w:rsid w:val="0013427A"/>
    <w:rsid w:val="001362C2"/>
    <w:rsid w:val="00136955"/>
    <w:rsid w:val="00136E19"/>
    <w:rsid w:val="001371B2"/>
    <w:rsid w:val="00137873"/>
    <w:rsid w:val="00137D78"/>
    <w:rsid w:val="001409A0"/>
    <w:rsid w:val="00141C0A"/>
    <w:rsid w:val="00141F08"/>
    <w:rsid w:val="00141FF2"/>
    <w:rsid w:val="0014287A"/>
    <w:rsid w:val="00142DE2"/>
    <w:rsid w:val="00143139"/>
    <w:rsid w:val="00144C87"/>
    <w:rsid w:val="001467B1"/>
    <w:rsid w:val="00150175"/>
    <w:rsid w:val="001502C8"/>
    <w:rsid w:val="0015130F"/>
    <w:rsid w:val="0015201E"/>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6DD2"/>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0E53"/>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7677"/>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B7C50"/>
    <w:rsid w:val="002C0C4B"/>
    <w:rsid w:val="002C0D6E"/>
    <w:rsid w:val="002C1EEA"/>
    <w:rsid w:val="002C47AD"/>
    <w:rsid w:val="002C6034"/>
    <w:rsid w:val="002C635B"/>
    <w:rsid w:val="002C7CFF"/>
    <w:rsid w:val="002D0BC6"/>
    <w:rsid w:val="002D11F7"/>
    <w:rsid w:val="002D17C5"/>
    <w:rsid w:val="002D1C7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39"/>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9A"/>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087"/>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54"/>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0B4"/>
    <w:rsid w:val="004C483D"/>
    <w:rsid w:val="004C72BA"/>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0558B"/>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2FE5"/>
    <w:rsid w:val="005340C9"/>
    <w:rsid w:val="005375FE"/>
    <w:rsid w:val="005420DE"/>
    <w:rsid w:val="00542249"/>
    <w:rsid w:val="005430B2"/>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30FE"/>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47F5"/>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8AC"/>
    <w:rsid w:val="00681FDC"/>
    <w:rsid w:val="006829E8"/>
    <w:rsid w:val="00682B53"/>
    <w:rsid w:val="00682F27"/>
    <w:rsid w:val="00690E2E"/>
    <w:rsid w:val="006915D7"/>
    <w:rsid w:val="00692814"/>
    <w:rsid w:val="00692A1E"/>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E7AFE"/>
    <w:rsid w:val="006F1116"/>
    <w:rsid w:val="006F2B84"/>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B53"/>
    <w:rsid w:val="00712EDA"/>
    <w:rsid w:val="007136D0"/>
    <w:rsid w:val="007155A9"/>
    <w:rsid w:val="007158E1"/>
    <w:rsid w:val="0071684E"/>
    <w:rsid w:val="0071705B"/>
    <w:rsid w:val="00717D61"/>
    <w:rsid w:val="00720505"/>
    <w:rsid w:val="007236A3"/>
    <w:rsid w:val="007239B6"/>
    <w:rsid w:val="0072490A"/>
    <w:rsid w:val="0072517D"/>
    <w:rsid w:val="00726878"/>
    <w:rsid w:val="00727237"/>
    <w:rsid w:val="0073124A"/>
    <w:rsid w:val="00731B79"/>
    <w:rsid w:val="00733893"/>
    <w:rsid w:val="00734A05"/>
    <w:rsid w:val="00735C6F"/>
    <w:rsid w:val="00742B44"/>
    <w:rsid w:val="0074655A"/>
    <w:rsid w:val="00746727"/>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2D1D"/>
    <w:rsid w:val="00784190"/>
    <w:rsid w:val="0078457B"/>
    <w:rsid w:val="00784756"/>
    <w:rsid w:val="0078539D"/>
    <w:rsid w:val="007856C1"/>
    <w:rsid w:val="00787051"/>
    <w:rsid w:val="00790053"/>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191"/>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27F47"/>
    <w:rsid w:val="008307ED"/>
    <w:rsid w:val="0083350F"/>
    <w:rsid w:val="00834358"/>
    <w:rsid w:val="008346BD"/>
    <w:rsid w:val="00836B7A"/>
    <w:rsid w:val="008409AA"/>
    <w:rsid w:val="00840FB8"/>
    <w:rsid w:val="00843A7A"/>
    <w:rsid w:val="008447F5"/>
    <w:rsid w:val="00846292"/>
    <w:rsid w:val="008506E1"/>
    <w:rsid w:val="008515EE"/>
    <w:rsid w:val="008526DC"/>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676"/>
    <w:rsid w:val="00870D04"/>
    <w:rsid w:val="0087121B"/>
    <w:rsid w:val="008714B6"/>
    <w:rsid w:val="008743F3"/>
    <w:rsid w:val="0087444A"/>
    <w:rsid w:val="00875139"/>
    <w:rsid w:val="00875410"/>
    <w:rsid w:val="00880EDF"/>
    <w:rsid w:val="00882DE6"/>
    <w:rsid w:val="00883D4D"/>
    <w:rsid w:val="0088467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2133"/>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32B"/>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6B2F"/>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660"/>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856"/>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8CF"/>
    <w:rsid w:val="00AD3AB9"/>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3D64"/>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13C"/>
    <w:rsid w:val="00BB754F"/>
    <w:rsid w:val="00BC07D4"/>
    <w:rsid w:val="00BC0A5D"/>
    <w:rsid w:val="00BC0BE3"/>
    <w:rsid w:val="00BC1AD9"/>
    <w:rsid w:val="00BC32E7"/>
    <w:rsid w:val="00BC39F4"/>
    <w:rsid w:val="00BC58B9"/>
    <w:rsid w:val="00BD3CC0"/>
    <w:rsid w:val="00BD3E68"/>
    <w:rsid w:val="00BD45A6"/>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481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640"/>
    <w:rsid w:val="00C96F79"/>
    <w:rsid w:val="00C97588"/>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C7EE5"/>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27ED2"/>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C6F"/>
    <w:rsid w:val="00DA3E7B"/>
    <w:rsid w:val="00DA451D"/>
    <w:rsid w:val="00DA56DB"/>
    <w:rsid w:val="00DA606F"/>
    <w:rsid w:val="00DA6452"/>
    <w:rsid w:val="00DA6C81"/>
    <w:rsid w:val="00DA6F4F"/>
    <w:rsid w:val="00DA6FE9"/>
    <w:rsid w:val="00DA7925"/>
    <w:rsid w:val="00DA7D7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3A0A"/>
    <w:rsid w:val="00ED4A6D"/>
    <w:rsid w:val="00ED6D4A"/>
    <w:rsid w:val="00ED738C"/>
    <w:rsid w:val="00ED7918"/>
    <w:rsid w:val="00ED7FD3"/>
    <w:rsid w:val="00EE273E"/>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5745"/>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 w:val="059F5B51"/>
    <w:rsid w:val="55F0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2272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5AIRPNAIUNRU-1830940522-2071</_dlc_DocId>
    <_dlc_DocIdUrl xmlns="71c5aaf6-e6ce-465b-b873-5148d2a4c105">
      <Url>https://nokia.sharepoint.com/sites/c5g/5gradio/_layouts/15/DocIdRedir.aspx?ID=5AIRPNAIUNRU-1830940522-2071</Url>
      <Description>5AIRPNAIUNRU-1830940522-2071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purl.org/dc/dcmitype/"/>
    <ds:schemaRef ds:uri="71c5aaf6-e6ce-465b-b873-5148d2a4c105"/>
    <ds:schemaRef ds:uri="http://schemas.microsoft.com/office/infopath/2007/PartnerControls"/>
    <ds:schemaRef ds:uri="http://purl.org/dc/elements/1.1/"/>
    <ds:schemaRef ds:uri="http://schemas.openxmlformats.org/package/2006/metadata/core-properties"/>
    <ds:schemaRef ds:uri="ebabf6ce-2443-438c-9946-ecc878e7654a"/>
    <ds:schemaRef ds:uri="http://purl.org/dc/terms/"/>
    <ds:schemaRef ds:uri="95d2e41d-1f11-4347-bb1c-11d6a32975dd"/>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B44FE4B-9D09-43F5-AEF4-1691F7BC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3C9FD1-FE11-4E10-9711-620398A7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919</Words>
  <Characters>7445</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2017-10-02T09:58:00Z</dcterms:created>
  <dcterms:modified xsi:type="dcterms:W3CDTF">2017-10-02T10:01:00Z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d08833ba-da41-454a-89b1-e278bd4823b7</vt:lpwstr>
  </property>
</Properties>
</file>